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73.png" ContentType="image/png"/>
  <Override PartName="/word/media/rId77.png" ContentType="image/png"/>
  <Override PartName="/word/media/rId81.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27,</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immigrants in same-sex couples has grown rapidly</w:t>
      </w:r>
      <w:r>
        <w:t xml:space="preserve"> </w:t>
      </w:r>
      <w:r>
        <w:t xml:space="preserve">(</w:t>
      </w:r>
      <w:hyperlink w:anchor="ref-hoffmann_2023_sexuality">
        <w:r>
          <w:rPr>
            <w:rStyle w:val="Hyperlink"/>
          </w:rPr>
          <w:t xml:space="preserve">Hoffmann and Velasco 2023</w:t>
        </w:r>
      </w:hyperlink>
      <w:r>
        <w:t xml:space="preserve">,</w:t>
      </w:r>
      <w:r>
        <w:t xml:space="preserve"> </w:t>
      </w:r>
      <w:hyperlink w:anchor="ref-hoffmann_2024_policy">
        <w:r>
          <w:rPr>
            <w:rStyle w:val="Hyperlink"/>
          </w:rPr>
          <w:t xml:space="preserve">2024</w:t>
        </w:r>
      </w:hyperlink>
      <w:r>
        <w:t xml:space="preserve">)</w:t>
      </w:r>
      <w:r>
        <w:t xml:space="preserve">.</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w:t>
      </w:r>
      <w:hyperlink w:anchor="ref-hadler_2018_world">
        <w:r>
          <w:rPr>
            <w:rStyle w:val="Hyperlink"/>
          </w:rPr>
          <w:t xml:space="preserve">Hadler and Symons 2018</w:t>
        </w:r>
      </w:hyperlink>
      <w:r>
        <w:t xml:space="preserve">)</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w:t>
      </w:r>
      <w:hyperlink w:anchor="ref-dehaas_2021">
        <w:r>
          <w:rPr>
            <w:rStyle w:val="Hyperlink"/>
          </w:rPr>
          <w:t xml:space="preserve">de Haas 2021</w:t>
        </w:r>
      </w:hyperlink>
      <w:r>
        <w:t xml:space="preserve">;</w:t>
      </w:r>
      <w:r>
        <w:t xml:space="preserve"> </w:t>
      </w:r>
      <w:hyperlink w:anchor="ref-fitzgerald_2014">
        <w:r>
          <w:rPr>
            <w:rStyle w:val="Hyperlink"/>
          </w:rPr>
          <w:t xml:space="preserve">Fitzgerald, Leblang, and Teets 2014</w:t>
        </w:r>
      </w:hyperlink>
      <w:r>
        <w:t xml:space="preserve">)</w:t>
      </w:r>
      <w:r>
        <w:t xml:space="preserve">. Moreover, while gender is increasingly recognized as an integral part of the migration process</w:t>
      </w:r>
      <w:r>
        <w:t xml:space="preserve"> </w:t>
      </w:r>
      <w:r>
        <w:t xml:space="preserve">(</w:t>
      </w:r>
      <w:hyperlink w:anchor="ref-lutz_2010">
        <w:r>
          <w:rPr>
            <w:rStyle w:val="Hyperlink"/>
          </w:rPr>
          <w:t xml:space="preserve">Lutz 2010</w:t>
        </w:r>
      </w:hyperlink>
      <w:r>
        <w:t xml:space="preserve">;</w:t>
      </w:r>
      <w:r>
        <w:t xml:space="preserve"> </w:t>
      </w:r>
      <w:hyperlink w:anchor="ref-hondagneu-sotelo_2012">
        <w:r>
          <w:rPr>
            <w:rStyle w:val="Hyperlink"/>
          </w:rPr>
          <w:t xml:space="preserve">Hondagneu-Sotelo 2012</w:t>
        </w:r>
      </w:hyperlink>
      <w:r>
        <w:t xml:space="preserve">)</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w:t>
      </w:r>
      <w:hyperlink w:anchor="ref-ahmad_2013">
        <w:r>
          <w:rPr>
            <w:rStyle w:val="Hyperlink"/>
          </w:rPr>
          <w:t xml:space="preserve">Ahmad 2013</w:t>
        </w:r>
      </w:hyperlink>
      <w:r>
        <w:t xml:space="preserve">;</w:t>
      </w:r>
      <w:r>
        <w:t xml:space="preserve"> </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w:t>
      </w:r>
      <w:hyperlink w:anchor="ref-benson_2012">
        <w:r>
          <w:rPr>
            <w:rStyle w:val="Hyperlink"/>
          </w:rPr>
          <w:t xml:space="preserve">Benson and O’Reilly 2012</w:t>
        </w:r>
      </w:hyperlink>
      <w:r>
        <w:t xml:space="preserve">;</w:t>
      </w:r>
      <w:r>
        <w:t xml:space="preserve"> </w:t>
      </w:r>
      <w:hyperlink w:anchor="ref-fitzgerald_2014">
        <w:r>
          <w:rPr>
            <w:rStyle w:val="Hyperlink"/>
          </w:rPr>
          <w:t xml:space="preserve">Fitzgerald, Leblang, and Teets 2014</w:t>
        </w:r>
      </w:hyperlink>
      <w:r>
        <w:t xml:space="preserve">)</w:t>
      </w:r>
      <w:r>
        <w:t xml:space="preserve">.</w:t>
      </w:r>
    </w:p>
    <w:p>
      <w:pPr>
        <w:pStyle w:val="BodyText"/>
      </w:pPr>
      <w:r>
        <w:t xml:space="preserve">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w:t>
      </w:r>
    </w:p>
    <w:bookmarkEnd w:id="20"/>
    <w:bookmarkStart w:id="21" w:name="background"/>
    <w:p>
      <w:pPr>
        <w:pStyle w:val="Heading1"/>
      </w:pPr>
      <w:r>
        <w:t xml:space="preserve">Background</w:t>
      </w:r>
    </w:p>
    <w:bookmarkEnd w:id="21"/>
    <w:bookmarkStart w:id="26" w:name="data-and-methods"/>
    <w:p>
      <w:pPr>
        <w:pStyle w:val="Heading1"/>
      </w:pPr>
      <w:r>
        <w:t xml:space="preserve">Data and Methods</w:t>
      </w:r>
    </w:p>
    <w:p>
      <w:pPr>
        <w:pStyle w:val="FirstParagraph"/>
      </w:pPr>
      <w:r>
        <w:t xml:space="preserve">Our main source of data is the American Community Survey for 2008 to 2022 (except for 2020, when data quality was not good)</w:t>
      </w:r>
      <w:r>
        <w:t xml:space="preserve"> </w:t>
      </w:r>
      <w:r>
        <w:t xml:space="preserve">(</w:t>
      </w:r>
      <w:hyperlink w:anchor="ref-ruggles_2021">
        <w:r>
          <w:rPr>
            <w:rStyle w:val="Hyperlink"/>
          </w:rPr>
          <w:t xml:space="preserve">Ruggles et al. 2021</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immigrants in different-sex couples, and individuals in same-sex couples where neither individual is an immigrant. The 14 years of survey data contain XX cases.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which results in dropping XX immigrants in same-sex couples and XX in different-sex couples, or XX percent of the sample.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 In Section C of the Online Appendix we include robustness checks to test the sensitivity of our results to hypothetically high rates of misreporting.</w:t>
      </w:r>
    </w:p>
    <w:bookmarkStart w:id="22"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p>
    <w:bookmarkEnd w:id="22"/>
    <w:bookmarkStart w:id="25" w:name="variables"/>
    <w:p>
      <w:pPr>
        <w:pStyle w:val="Heading2"/>
      </w:pPr>
      <w:r>
        <w:t xml:space="preserve">Variables</w:t>
      </w:r>
    </w:p>
    <w:p>
      <w:pPr>
        <w:pStyle w:val="FirstParagraph"/>
      </w:pPr>
      <w:r>
        <w:t xml:space="preserve">Most of our variables come from the ACS and are calculated at the level of the Public Use Microdata Area (PUMA), a unit of analysis that includes at least 100,000.</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3"/>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X to X, and the mean state policy score for immigrants in our sample is X.</w:t>
      </w:r>
    </w:p>
    <w:p>
      <w:pPr>
        <w:pStyle w:val="BodyText"/>
      </w:pPr>
      <w:r>
        <w:t xml:space="preserve">Our second outside data source is a measure of the prevalence of LGBT nonprofits in a given PUMA. These come from complete IRS data on nonprofits.</w:t>
      </w:r>
    </w:p>
    <w:bookmarkEnd w:id="25"/>
    <w:bookmarkEnd w:id="26"/>
    <w:bookmarkStart w:id="27" w:name="results"/>
    <w:p>
      <w:pPr>
        <w:pStyle w:val="Heading1"/>
      </w:pPr>
      <w:r>
        <w:t xml:space="preserve">Results</w:t>
      </w:r>
    </w:p>
    <w:bookmarkEnd w:id="27"/>
    <w:bookmarkStart w:id="28" w:name="discussion-and-conclusion"/>
    <w:p>
      <w:pPr>
        <w:pStyle w:val="Heading1"/>
      </w:pPr>
      <w:r>
        <w:t xml:space="preserve">Discussion and Conclusion</w:t>
      </w:r>
    </w:p>
    <w:p>
      <w:r>
        <w:br w:type="page"/>
      </w:r>
    </w:p>
    <w:bookmarkEnd w:id="28"/>
    <w:bookmarkStart w:id="68" w:name="references"/>
    <w:p>
      <w:pPr>
        <w:pStyle w:val="Heading1"/>
      </w:pPr>
      <w:r>
        <w:t xml:space="preserve">References</w:t>
      </w:r>
    </w:p>
    <w:bookmarkStart w:id="67" w:name="refs"/>
    <w:bookmarkStart w:id="29" w:name="ref-ahmad_2013"/>
    <w:p>
      <w:pPr>
        <w:pStyle w:val="Bibliography"/>
      </w:pPr>
      <w:r>
        <w:t xml:space="preserve">Ahmad, Ali Nobil. 2013.</w:t>
      </w:r>
      <w:r>
        <w:t xml:space="preserve"> </w:t>
      </w:r>
      <w:r>
        <w:t xml:space="preserve">“Sexuality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w:t>
      </w:r>
      <w:r>
        <w:t xml:space="preserve"> </w:t>
      </w:r>
      <w:r>
        <w:t xml:space="preserve">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67–93. Ashgate Publishing, Ltd.</w:t>
      </w:r>
    </w:p>
    <w:bookmarkEnd w:id="29"/>
    <w:bookmarkStart w:id="31"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0">
        <w:r>
          <w:rPr>
            <w:rStyle w:val="Hyperlink"/>
          </w:rPr>
          <w:t xml:space="preserve">https://doi.org/10.1007/978-94-007-5512-3</w:t>
        </w:r>
      </w:hyperlink>
      <w:r>
        <w:t xml:space="preserve">.</w:t>
      </w:r>
    </w:p>
    <w:bookmarkEnd w:id="31"/>
    <w:bookmarkStart w:id="32"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2"/>
    <w:bookmarkStart w:id="3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3">
        <w:r>
          <w:rPr>
            <w:rStyle w:val="Hyperlink"/>
          </w:rPr>
          <w:t xml:space="preserve">https://doi.org/10.1007/978-3-030-10910-3_11</w:t>
        </w:r>
      </w:hyperlink>
      <w:r>
        <w:t xml:space="preserve">.</w:t>
      </w:r>
    </w:p>
    <w:bookmarkEnd w:id="34"/>
    <w:bookmarkStart w:id="35" w:name="ref-benson_2012"/>
    <w:p>
      <w:pPr>
        <w:pStyle w:val="Bibliography"/>
      </w:pPr>
      <w:r>
        <w:t xml:space="preserve">Benson, Michaela, and Karen O’Reilly.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Furnham, United Kingdom: Ashgate Publishing.</w:t>
      </w:r>
    </w:p>
    <w:bookmarkEnd w:id="35"/>
    <w:bookmarkStart w:id="36"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36"/>
    <w:bookmarkStart w:id="37"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37"/>
    <w:bookmarkStart w:id="3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38">
        <w:r>
          <w:rPr>
            <w:rStyle w:val="Hyperlink"/>
          </w:rPr>
          <w:t xml:space="preserve">https://doi.org/10.1111/kykl.12206</w:t>
        </w:r>
      </w:hyperlink>
      <w:r>
        <w:t xml:space="preserve">.</w:t>
      </w:r>
    </w:p>
    <w:bookmarkEnd w:id="39"/>
    <w:bookmarkStart w:id="41" w:name="ref-dehaas_2021"/>
    <w:p>
      <w:pPr>
        <w:pStyle w:val="Bibliography"/>
      </w:pPr>
      <w:r>
        <w:t xml:space="preserve">de Haas, Hein. 2021.</w:t>
      </w:r>
      <w:r>
        <w:t xml:space="preserve"> </w:t>
      </w:r>
      <w:r>
        <w:t xml:space="preserve">“A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 </w:t>
      </w:r>
      <w:r>
        <w:t xml:space="preserve">9 (1): 8.</w:t>
      </w:r>
      <w:r>
        <w:t xml:space="preserve"> </w:t>
      </w:r>
      <w:hyperlink r:id="rId40">
        <w:r>
          <w:rPr>
            <w:rStyle w:val="Hyperlink"/>
          </w:rPr>
          <w:t xml:space="preserve">https://doi.org/10.1186/s40878-020-00210-4</w:t>
        </w:r>
      </w:hyperlink>
      <w:r>
        <w:t xml:space="preserve">.</w:t>
      </w:r>
    </w:p>
    <w:bookmarkEnd w:id="41"/>
    <w:bookmarkStart w:id="42"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42"/>
    <w:bookmarkStart w:id="44" w:name="ref-fitzgerald_2014"/>
    <w:p>
      <w:pPr>
        <w:pStyle w:val="Bibliography"/>
      </w:pPr>
      <w:r>
        <w:t xml:space="preserve">Fitzgerald, Jennifer, David Leblang, and Jessica C. Teets. 2014.</w:t>
      </w:r>
      <w:r>
        <w:t xml:space="preserve"> </w:t>
      </w:r>
      <w:r>
        <w:t xml:space="preserve">“Defying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 </w:t>
      </w:r>
      <w:r>
        <w:t xml:space="preserve">66 (3): 406–45.</w:t>
      </w:r>
      <w:r>
        <w:t xml:space="preserve"> </w:t>
      </w:r>
      <w:hyperlink r:id="rId43">
        <w:r>
          <w:rPr>
            <w:rStyle w:val="Hyperlink"/>
          </w:rPr>
          <w:t xml:space="preserve">https://doi.org/10.1017/S0043887114000112</w:t>
        </w:r>
      </w:hyperlink>
      <w:r>
        <w:t xml:space="preserve">.</w:t>
      </w:r>
    </w:p>
    <w:bookmarkEnd w:id="44"/>
    <w:bookmarkStart w:id="45"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45"/>
    <w:bookmarkStart w:id="46"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46"/>
    <w:bookmarkStart w:id="47"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47"/>
    <w:bookmarkStart w:id="48"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48"/>
    <w:bookmarkStart w:id="5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49">
        <w:r>
          <w:rPr>
            <w:rStyle w:val="Hyperlink"/>
          </w:rPr>
          <w:t xml:space="preserve">https://doi.org/10.1080/14649360902853262</w:t>
        </w:r>
      </w:hyperlink>
      <w:r>
        <w:t xml:space="preserve">.</w:t>
      </w:r>
    </w:p>
    <w:bookmarkEnd w:id="50"/>
    <w:bookmarkStart w:id="51" w:name="ref-hadler_2018_world"/>
    <w:p>
      <w:pPr>
        <w:pStyle w:val="Bibliography"/>
      </w:pPr>
      <w:r>
        <w:t xml:space="preserve">Hadler, Markus, and Jonathan Symons. 2018.</w:t>
      </w:r>
      <w:r>
        <w:t xml:space="preserve"> </w:t>
      </w:r>
      <w:r>
        <w:t xml:space="preserve">“World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 </w:t>
      </w:r>
      <w:r>
        <w:t xml:space="preserve">96 (4): 1721–56.</w:t>
      </w:r>
    </w:p>
    <w:bookmarkEnd w:id="51"/>
    <w:bookmarkStart w:id="53"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52">
        <w:r>
          <w:rPr>
            <w:rStyle w:val="Hyperlink"/>
          </w:rPr>
          <w:t xml:space="preserve">https://doi.org/10.1177/01979183231187623</w:t>
        </w:r>
      </w:hyperlink>
      <w:r>
        <w:t xml:space="preserve">.</w:t>
      </w:r>
    </w:p>
    <w:bookmarkEnd w:id="53"/>
    <w:bookmarkStart w:id="55"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54">
        <w:r>
          <w:rPr>
            <w:rStyle w:val="Hyperlink"/>
          </w:rPr>
          <w:t xml:space="preserve">https://doi.org/10.1093/sf/soad108</w:t>
        </w:r>
      </w:hyperlink>
      <w:r>
        <w:t xml:space="preserve">.</w:t>
      </w:r>
    </w:p>
    <w:bookmarkEnd w:id="55"/>
    <w:bookmarkStart w:id="57" w:name="ref-hondagneu-sotelo_2012"/>
    <w:p>
      <w:pPr>
        <w:pStyle w:val="Bibliography"/>
      </w:pPr>
      <w:r>
        <w:t xml:space="preserve">Hondagneu-Sotelo, Pierrette. 2012.</w:t>
      </w:r>
      <w:r>
        <w:t xml:space="preserve"> </w:t>
      </w:r>
      <w:r>
        <w:t xml:space="preserve">“New Directions in Gender and Immigration Research.”</w:t>
      </w:r>
      <w:r>
        <w:t xml:space="preserve"> </w:t>
      </w:r>
      <w:r>
        <w:t xml:space="preserve">In</w:t>
      </w:r>
      <w:r>
        <w:t xml:space="preserve"> </w:t>
      </w:r>
      <w:r>
        <w:rPr>
          <w:iCs/>
          <w:i/>
        </w:rPr>
        <w:t xml:space="preserve">Routledge</w:t>
      </w:r>
      <w:r>
        <w:rPr>
          <w:iCs/>
          <w:i/>
        </w:rPr>
        <w:t xml:space="preserve"> </w:t>
      </w:r>
      <w:r>
        <w:rPr>
          <w:iCs/>
          <w:i/>
        </w:rPr>
        <w:t xml:space="preserve">International Handbook</w:t>
      </w:r>
      <w:r>
        <w:rPr>
          <w:iCs/>
          <w:i/>
        </w:rPr>
        <w:t xml:space="preserve"> </w:t>
      </w:r>
      <w:r>
        <w:rPr>
          <w:iCs/>
          <w:i/>
        </w:rPr>
        <w:t xml:space="preserve">of</w:t>
      </w:r>
      <w:r>
        <w:rPr>
          <w:iCs/>
          <w:i/>
        </w:rPr>
        <w:t xml:space="preserve"> </w:t>
      </w:r>
      <w:r>
        <w:rPr>
          <w:iCs/>
          <w:i/>
        </w:rPr>
        <w:t xml:space="preserve">Migration Studies</w:t>
      </w:r>
      <w:r>
        <w:t xml:space="preserve">. Routledge.</w:t>
      </w:r>
      <w:r>
        <w:t xml:space="preserve"> </w:t>
      </w:r>
      <w:hyperlink r:id="rId56">
        <w:r>
          <w:rPr>
            <w:rStyle w:val="Hyperlink"/>
          </w:rPr>
          <w:t xml:space="preserve">https://doi.org/10.4324/9780203863299.ch15</w:t>
        </w:r>
      </w:hyperlink>
      <w:r>
        <w:t xml:space="preserve">.</w:t>
      </w:r>
    </w:p>
    <w:bookmarkEnd w:id="57"/>
    <w:bookmarkStart w:id="59" w:name="ref-lutz_2010"/>
    <w:p>
      <w:pPr>
        <w:pStyle w:val="Bibliography"/>
      </w:pPr>
      <w:r>
        <w:t xml:space="preserve">Lutz, Helma. 2010.</w:t>
      </w:r>
      <w:r>
        <w:t xml:space="preserve"> </w:t>
      </w:r>
      <w:r>
        <w:t xml:space="preserve">“Gender in the</w:t>
      </w:r>
      <w:r>
        <w:t xml:space="preserve"> </w:t>
      </w:r>
      <w:r>
        <w:t xml:space="preserve">Migratory Process</w:t>
      </w:r>
      <w:r>
        <w:t xml:space="preserve">.”</w:t>
      </w:r>
      <w:r>
        <w:t xml:space="preserve"> </w:t>
      </w:r>
      <w:r>
        <w:rPr>
          <w:iCs/>
          <w:i/>
        </w:rPr>
        <w:t xml:space="preserve">Journal of Ethnic and Migration Studies</w:t>
      </w:r>
      <w:r>
        <w:t xml:space="preserve"> </w:t>
      </w:r>
      <w:r>
        <w:t xml:space="preserve">36 (10): 1647–63.</w:t>
      </w:r>
      <w:r>
        <w:t xml:space="preserve"> </w:t>
      </w:r>
      <w:hyperlink r:id="rId58">
        <w:r>
          <w:rPr>
            <w:rStyle w:val="Hyperlink"/>
          </w:rPr>
          <w:t xml:space="preserve">https://doi.org/10.1080/1369183X.2010.489373</w:t>
        </w:r>
      </w:hyperlink>
      <w:r>
        <w:t xml:space="preserve">.</w:t>
      </w:r>
    </w:p>
    <w:bookmarkEnd w:id="59"/>
    <w:bookmarkStart w:id="61"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60">
        <w:r>
          <w:rPr>
            <w:rStyle w:val="Hyperlink"/>
          </w:rPr>
          <w:t xml:space="preserve">https://doi.org/10.1080/17450100903195318</w:t>
        </w:r>
      </w:hyperlink>
      <w:r>
        <w:t xml:space="preserve">.</w:t>
      </w:r>
    </w:p>
    <w:bookmarkEnd w:id="61"/>
    <w:bookmarkStart w:id="63"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62">
        <w:r>
          <w:rPr>
            <w:rStyle w:val="Hyperlink"/>
          </w:rPr>
          <w:t xml:space="preserve">https://doi.org/10.1007/s12122-020-09305-4</w:t>
        </w:r>
      </w:hyperlink>
      <w:r>
        <w:t xml:space="preserve">.</w:t>
      </w:r>
    </w:p>
    <w:bookmarkEnd w:id="63"/>
    <w:bookmarkStart w:id="64"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64"/>
    <w:bookmarkStart w:id="65" w:name="ref-ruggles_2021"/>
    <w:p>
      <w:pPr>
        <w:pStyle w:val="Bibliography"/>
      </w:pPr>
      <w:r>
        <w:t xml:space="preserve">Ruggles, Steven, Sarah Flood, Sophia Foster, Ronald Goeken, Jose Pacas, Megan Schouweiler, and Matthew Sobek. 2021.</w:t>
      </w:r>
      <w:r>
        <w:t xml:space="preserve"> </w:t>
      </w:r>
      <w:r>
        <w:t xml:space="preserve">“</w:t>
      </w:r>
      <w:r>
        <w:t xml:space="preserve">IPUMS USA</w:t>
      </w:r>
      <w:r>
        <w:t xml:space="preserve">:</w:t>
      </w:r>
      <w:r>
        <w:t xml:space="preserve"> </w:t>
      </w:r>
      <w:r>
        <w:t xml:space="preserve">Version</w:t>
      </w:r>
      <w:r>
        <w:t xml:space="preserve"> </w:t>
      </w:r>
      <w:r>
        <w:t xml:space="preserve">11.0</w:t>
      </w:r>
      <w:r>
        <w:t xml:space="preserve"> </w:t>
      </w:r>
      <w:r>
        <w:t xml:space="preserve">American Community Survey</w:t>
      </w:r>
      <w:r>
        <w:t xml:space="preserve"> </w:t>
      </w:r>
      <w:r>
        <w:t xml:space="preserve">2008-2019.”</w:t>
      </w:r>
      <w:r>
        <w:t xml:space="preserve"> Minneapolis, MN: IPUMS.</w:t>
      </w:r>
    </w:p>
    <w:bookmarkEnd w:id="65"/>
    <w:bookmarkStart w:id="6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66"/>
    <w:bookmarkEnd w:id="67"/>
    <w:p>
      <w:r>
        <w:br w:type="page"/>
      </w:r>
    </w:p>
    <w:bookmarkEnd w:id="68"/>
    <w:bookmarkStart w:id="72" w:name="tables"/>
    <w:p>
      <w:pPr>
        <w:pStyle w:val="Heading1"/>
      </w:pPr>
      <w:r>
        <w:t xml:space="preserve">Tables</w:t>
      </w:r>
    </w:p>
    <w:p>
      <w:pPr>
        <w:pStyle w:val="TableCaption"/>
      </w:pPr>
      <w:bookmarkStart w:id="69" w:name="tab:desc"/>
      <w:bookmarkEnd w:id="69"/>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38.5</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w:t>
            </w:r>
          </w:p>
        </w:tc>
      </w:tr>
      <w:tr>
        <w:trPr>
          <w:trHeight w:val="588"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pctmetro</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90.1</w:t>
            </w:r>
          </w:p>
        </w:tc>
      </w:tr>
      <w:tr>
        <w:trPr>
          <w:trHeight w:val="610"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w:t>
            </w:r>
          </w:p>
        </w:tc>
      </w:tr>
    </w:tbl>
    <w:p>
      <w:r>
        <w:br w:type="page"/>
      </w:r>
    </w:p>
    <w:p>
      <w:pPr>
        <w:pStyle w:val="TableCaption"/>
      </w:pPr>
      <w:bookmarkStart w:id="70" w:name="tab:prop-regression"/>
      <w:bookmarkEnd w:id="70"/>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-0.050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0.171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57390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57390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57390        </w:t>
            </w:r>
          </w:p>
        </w:tc>
      </w:tr>
      <w:tr>
        <w:trPr>
          <w:trHeight w:val="360" w:hRule="auto"/>
        </w:trPr>
        body37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71" w:name="tab:gay-prop-regression"/>
      <w:bookmarkEnd w:id="71"/>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-0.361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-0.140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-0.138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0.038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0.078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-3.466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-7.251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-7.466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(1.091)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(3.055)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(0.256)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0.281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(0.218)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-0.112 **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0.804 *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(0.390)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-0.441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(0.072)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-0.077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(0.147)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-0.174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(0.077)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body36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53891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53891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53891        </w:t>
            </w:r>
          </w:p>
        </w:tc>
      </w:tr>
      <w:tr>
        <w:trPr>
          <w:trHeight w:val="360" w:hRule="auto"/>
        </w:trPr>
        body37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bookmarkEnd w:id="72"/>
    <w:bookmarkStart w:id="85" w:name="figures"/>
    <w:p>
      <w:pPr>
        <w:pStyle w:val="Heading1"/>
      </w:pPr>
      <w:r>
        <w:t xml:space="preserve">Figures</w:t>
      </w:r>
    </w:p>
    <w:p>
      <w:pPr>
        <w:pStyle w:val="CaptionedFigure"/>
      </w:pPr>
      <w:r>
        <w:drawing>
          <wp:inline>
            <wp:extent cx="5943600" cy="7132320"/>
            <wp:effectExtent b="0" l="0" r="0" t="0"/>
            <wp:docPr descr="Figure 1: Geographic characteristics (percentages) over time for immigrants in different- and same-sex couples, based on American Community Survey data for 2008-2022" title="" id="74" name="Picture"/>
            <a:graphic>
              <a:graphicData uri="http://schemas.openxmlformats.org/drawingml/2006/picture">
                <pic:pic>
                  <pic:nvPicPr>
                    <pic:cNvPr descr="ssimm_geo_files/figure-docx/desc-time-1-1.png" id="75" name="Picture"/>
                    <pic:cNvPicPr>
                      <a:picLocks noChangeArrowheads="1" noChangeAspect="1"/>
                    </pic:cNvPicPr>
                  </pic:nvPicPr>
                  <pic:blipFill>
                    <a:blip r:embed="rId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bookmarkStart w:id="76" w:name="fig:desc-time-1"/>
      <w:bookmarkEnd w:id="76"/>
      <w:r>
        <w:t xml:space="preserve">Figure 1: Geographic characteristics (percentages) over time for immigrants in different- and same-sex couples, based on American Community Survey data for 2008-2022</w:t>
      </w:r>
    </w:p>
    <w:p>
      <w:r>
        <w:br w:type="page"/>
      </w:r>
    </w:p>
    <w:p>
      <w:pPr>
        <w:pStyle w:val="CaptionedFigure"/>
      </w:pPr>
      <w:r>
        <w:drawing>
          <wp:inline>
            <wp:extent cx="5943600" cy="7132320"/>
            <wp:effectExtent b="0" l="0" r="0" t="0"/>
            <wp:docPr descr="Figure 2: Geographic characteristics (means) over time for immigrants in different- and same-sex couples, based on American Community Survey data for 2008-2022" title="" id="78" name="Picture"/>
            <a:graphic>
              <a:graphicData uri="http://schemas.openxmlformats.org/drawingml/2006/picture">
                <pic:pic>
                  <pic:nvPicPr>
                    <pic:cNvPr descr="ssimm_geo_files/figure-docx/desc-time-2-1.png" id="79" name="Picture"/>
                    <pic:cNvPicPr>
                      <a:picLocks noChangeArrowheads="1" noChangeAspect="1"/>
                    </pic:cNvPicPr>
                  </pic:nvPicPr>
                  <pic:blipFill>
                    <a:blip r:embed="rId7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bookmarkStart w:id="80" w:name="fig:desc-time-2"/>
      <w:bookmarkEnd w:id="80"/>
      <w:r>
        <w:t xml:space="preserve">Figure 2: Geographic characteristics (means) over time for immigrants in different- and same-sex couples, based on American Community Survey data for 2008-2022</w:t>
      </w:r>
    </w:p>
    <w:p>
      <w:r>
        <w:br w:type="page"/>
      </w:r>
    </w:p>
    <w:p>
      <w:pPr>
        <w:pStyle w:val="CaptionedFigure"/>
      </w:pPr>
      <w:r>
        <w:drawing>
          <wp:inline>
            <wp:extent cx="5943600" cy="4754880"/>
            <wp:effectExtent b="0" l="0" r="0" t="0"/>
            <wp:docPr descr="Figure 3: Percentage of cohabiting immigrants in same-sex couples in U.S. states, averaging over ACS survey years 2008 to 2022." title="" id="82" name="Picture"/>
            <a:graphic>
              <a:graphicData uri="http://schemas.openxmlformats.org/drawingml/2006/picture">
                <pic:pic>
                  <pic:nvPicPr>
                    <pic:cNvPr descr="ssimm_geo_files/figure-docx/state-map-1.png" id="83" name="Picture"/>
                    <pic:cNvPicPr>
                      <a:picLocks noChangeArrowheads="1" noChangeAspect="1"/>
                    </pic:cNvPicPr>
                  </pic:nvPicPr>
                  <pic:blipFill>
                    <a:blip r:embed="rId8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84" w:name="fig:state-map"/>
      <w:bookmarkEnd w:id="84"/>
      <w:r>
        <w:t xml:space="preserve">Figure 3: Percentage of cohabiting immigrants in same-sex couples in U.S. states, averaging over ACS survey years 2008 to 2022.</w:t>
      </w:r>
    </w:p>
    <w:bookmarkEnd w:id="85"/>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73" Target="media/rId73.png" /><Relationship Type="http://schemas.openxmlformats.org/officeDocument/2006/relationships/image" Id="rId77" Target="media/rId77.png" /><Relationship Type="http://schemas.openxmlformats.org/officeDocument/2006/relationships/image" Id="rId81" Target="media/rId81.png" /><Relationship Type="http://schemas.openxmlformats.org/officeDocument/2006/relationships/hyperlink" Id="rId33" Target="https://doi.org/10.1007/978-3-030-10910-3_11" TargetMode="External" /><Relationship Type="http://schemas.openxmlformats.org/officeDocument/2006/relationships/hyperlink" Id="rId30" Target="https://doi.org/10.1007/978-94-007-5512-3" TargetMode="External" /><Relationship Type="http://schemas.openxmlformats.org/officeDocument/2006/relationships/hyperlink" Id="rId62" Target="https://doi.org/10.1007/s12122-020-09305-4" TargetMode="External" /><Relationship Type="http://schemas.openxmlformats.org/officeDocument/2006/relationships/hyperlink" Id="rId43" Target="https://doi.org/10.1017/S0043887114000112" TargetMode="External" /><Relationship Type="http://schemas.openxmlformats.org/officeDocument/2006/relationships/hyperlink" Id="rId58" Target="https://doi.org/10.1080/1369183X.2010.489373" TargetMode="External" /><Relationship Type="http://schemas.openxmlformats.org/officeDocument/2006/relationships/hyperlink" Id="rId49" Target="https://doi.org/10.1080/14649360902853262" TargetMode="External" /><Relationship Type="http://schemas.openxmlformats.org/officeDocument/2006/relationships/hyperlink" Id="rId60" Target="https://doi.org/10.1080/17450100903195318" TargetMode="External" /><Relationship Type="http://schemas.openxmlformats.org/officeDocument/2006/relationships/hyperlink" Id="rId54" Target="https://doi.org/10.1093/sf/soad108" TargetMode="External" /><Relationship Type="http://schemas.openxmlformats.org/officeDocument/2006/relationships/hyperlink" Id="rId38" Target="https://doi.org/10.1111/kykl.12206" TargetMode="External" /><Relationship Type="http://schemas.openxmlformats.org/officeDocument/2006/relationships/hyperlink" Id="rId52" Target="https://doi.org/10.1177/01979183231187623" TargetMode="External" /><Relationship Type="http://schemas.openxmlformats.org/officeDocument/2006/relationships/hyperlink" Id="rId40" Target="https://doi.org/10.1186/s40878-020-00210-4" TargetMode="External" /><Relationship Type="http://schemas.openxmlformats.org/officeDocument/2006/relationships/hyperlink" Id="rId56" Target="https://doi.org/10.4324/9780203863299.ch15" TargetMode="External" /><Relationship Type="http://schemas.openxmlformats.org/officeDocument/2006/relationships/hyperlink" Id="rId24"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33" Target="https://doi.org/10.1007/978-3-030-10910-3_11" TargetMode="External" /><Relationship Type="http://schemas.openxmlformats.org/officeDocument/2006/relationships/hyperlink" Id="rId30" Target="https://doi.org/10.1007/978-94-007-5512-3" TargetMode="External" /><Relationship Type="http://schemas.openxmlformats.org/officeDocument/2006/relationships/hyperlink" Id="rId62" Target="https://doi.org/10.1007/s12122-020-09305-4" TargetMode="External" /><Relationship Type="http://schemas.openxmlformats.org/officeDocument/2006/relationships/hyperlink" Id="rId43" Target="https://doi.org/10.1017/S0043887114000112" TargetMode="External" /><Relationship Type="http://schemas.openxmlformats.org/officeDocument/2006/relationships/hyperlink" Id="rId58" Target="https://doi.org/10.1080/1369183X.2010.489373" TargetMode="External" /><Relationship Type="http://schemas.openxmlformats.org/officeDocument/2006/relationships/hyperlink" Id="rId49" Target="https://doi.org/10.1080/14649360902853262" TargetMode="External" /><Relationship Type="http://schemas.openxmlformats.org/officeDocument/2006/relationships/hyperlink" Id="rId60" Target="https://doi.org/10.1080/17450100903195318" TargetMode="External" /><Relationship Type="http://schemas.openxmlformats.org/officeDocument/2006/relationships/hyperlink" Id="rId54" Target="https://doi.org/10.1093/sf/soad108" TargetMode="External" /><Relationship Type="http://schemas.openxmlformats.org/officeDocument/2006/relationships/hyperlink" Id="rId38" Target="https://doi.org/10.1111/kykl.12206" TargetMode="External" /><Relationship Type="http://schemas.openxmlformats.org/officeDocument/2006/relationships/hyperlink" Id="rId52" Target="https://doi.org/10.1177/01979183231187623" TargetMode="External" /><Relationship Type="http://schemas.openxmlformats.org/officeDocument/2006/relationships/hyperlink" Id="rId40" Target="https://doi.org/10.1186/s40878-020-00210-4" TargetMode="External" /><Relationship Type="http://schemas.openxmlformats.org/officeDocument/2006/relationships/hyperlink" Id="rId56" Target="https://doi.org/10.4324/9780203863299.ch15" TargetMode="External" /><Relationship Type="http://schemas.openxmlformats.org/officeDocument/2006/relationships/hyperlink" Id="rId24"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2024-08-27T23:49:52Z</dcterms:created>
  <dcterms:modified xsi:type="dcterms:W3CDTF">2024-08-27T23:49:52Z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27,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